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25" w:rsidRPr="00A87A39" w:rsidRDefault="00B97825" w:rsidP="00B97825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A87A39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B97825" w:rsidRPr="00A87A39" w:rsidRDefault="00B97825" w:rsidP="00B97825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A87A39">
        <w:rPr>
          <w:rFonts w:ascii="Times New Roman" w:hAnsi="Times New Roman" w:cs="Times New Roman"/>
          <w:b/>
          <w:bCs/>
        </w:rPr>
        <w:t xml:space="preserve">МУНИЦИПАЛЬНЫХ ПРОГРАММ </w:t>
      </w:r>
      <w:r w:rsidRPr="00A87A39">
        <w:rPr>
          <w:rFonts w:ascii="Times New Roman" w:hAnsi="Times New Roman" w:cs="Times New Roman"/>
          <w:b/>
          <w:bCs/>
          <w:kern w:val="28"/>
        </w:rPr>
        <w:t>ГОРОДСКОГО ПОСЕЛЕНИЯ</w:t>
      </w:r>
      <w:r w:rsidRPr="00A87A39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 w:rsidRPr="00A87A39">
        <w:rPr>
          <w:rFonts w:ascii="Times New Roman" w:hAnsi="Times New Roman" w:cs="Times New Roman"/>
          <w:b/>
          <w:bCs/>
        </w:rPr>
        <w:t xml:space="preserve">БЕЛОЯРСКИЙ ЗА 2019 ГОД. </w:t>
      </w:r>
    </w:p>
    <w:p w:rsidR="00B97825" w:rsidRPr="00A87A39" w:rsidRDefault="00B97825" w:rsidP="00B97825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  <w:color w:val="FF0000"/>
          <w:sz w:val="20"/>
        </w:rPr>
      </w:pPr>
    </w:p>
    <w:p w:rsidR="00B97825" w:rsidRPr="00A87A39" w:rsidRDefault="00B97825" w:rsidP="00B97825">
      <w:pPr>
        <w:pStyle w:val="3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A87A39">
        <w:rPr>
          <w:sz w:val="24"/>
          <w:szCs w:val="24"/>
        </w:rPr>
        <w:t>Оценка эффективности реализации муниципальных программ городского  поселения Белоярский проведена в соответствии с постановлением администрации Белоярского района от 23.12.2013 года № 1959 «Об утверждении Порядка проведения и критериев оценки эффективности реализации муниципальных программ городского и  сельских поселений в границах Белоярского района» на основании ежегодного отчета о реализации муниципальной программы, представляемого ответственным исполнителем.</w:t>
      </w:r>
      <w:proofErr w:type="gramEnd"/>
    </w:p>
    <w:p w:rsidR="00B97825" w:rsidRPr="00A87A39" w:rsidRDefault="00B97825" w:rsidP="00B97825">
      <w:pPr>
        <w:pStyle w:val="a3"/>
        <w:rPr>
          <w:lang w:eastAsia="en-US"/>
        </w:rPr>
      </w:pPr>
    </w:p>
    <w:p w:rsidR="00B97825" w:rsidRPr="00A87A39" w:rsidRDefault="00B97825" w:rsidP="00B97825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A87A39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B97825" w:rsidRPr="00A87A39" w:rsidRDefault="00B97825" w:rsidP="00B97825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A87A39">
        <w:rPr>
          <w:rFonts w:ascii="Times New Roman" w:hAnsi="Times New Roman" w:cs="Times New Roman"/>
          <w:b/>
          <w:bCs/>
        </w:rPr>
        <w:t xml:space="preserve">МУНИЦИПАЛЬНОЙ ПРОГРАММЫ </w:t>
      </w:r>
      <w:r w:rsidRPr="00A87A39">
        <w:rPr>
          <w:rFonts w:ascii="Times New Roman" w:hAnsi="Times New Roman" w:cs="Times New Roman"/>
          <w:b/>
          <w:bCs/>
          <w:kern w:val="28"/>
        </w:rPr>
        <w:t>ГОРОДСКОГО ПОСЕЛЕНИЯ</w:t>
      </w:r>
      <w:r w:rsidRPr="00A87A39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 w:rsidRPr="00A87A39">
        <w:rPr>
          <w:rFonts w:ascii="Times New Roman" w:hAnsi="Times New Roman" w:cs="Times New Roman"/>
          <w:b/>
          <w:bCs/>
        </w:rPr>
        <w:t xml:space="preserve">БЕЛОЯРСКИЙ «ПОВЫШЕНИЕ </w:t>
      </w:r>
      <w:proofErr w:type="gramStart"/>
      <w:r w:rsidRPr="00A87A39">
        <w:rPr>
          <w:rFonts w:ascii="Times New Roman" w:hAnsi="Times New Roman" w:cs="Times New Roman"/>
          <w:b/>
          <w:bCs/>
        </w:rPr>
        <w:t>ЭФФЕКТИВНОСТИ ДЕЯТЕЛЬНОСТИ ОРГАНОВ МЕСТНОГО САМОУПРАВЛЕНИЯ ГОРОДСКОГО ПОСЕЛЕНИЯ</w:t>
      </w:r>
      <w:proofErr w:type="gramEnd"/>
      <w:r w:rsidRPr="00A87A39">
        <w:rPr>
          <w:rFonts w:ascii="Times New Roman" w:hAnsi="Times New Roman" w:cs="Times New Roman"/>
          <w:b/>
          <w:bCs/>
        </w:rPr>
        <w:t xml:space="preserve"> БЕЛОЯРСКИЙ НА 2017-2023 ГОДЫ» </w:t>
      </w:r>
    </w:p>
    <w:p w:rsidR="00B97825" w:rsidRPr="00A87A39" w:rsidRDefault="00B97825" w:rsidP="00B97825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A87A39">
        <w:rPr>
          <w:rFonts w:ascii="Times New Roman" w:hAnsi="Times New Roman" w:cs="Times New Roman"/>
          <w:b/>
          <w:bCs/>
        </w:rPr>
        <w:t xml:space="preserve">ЗА 2019 ГОД. </w:t>
      </w:r>
    </w:p>
    <w:p w:rsidR="00B97825" w:rsidRPr="00A87A39" w:rsidRDefault="00B97825" w:rsidP="00B97825">
      <w:pPr>
        <w:pStyle w:val="3"/>
        <w:spacing w:after="0"/>
        <w:ind w:left="0" w:firstLine="709"/>
        <w:jc w:val="both"/>
        <w:rPr>
          <w:color w:val="FF0000"/>
          <w:sz w:val="20"/>
          <w:szCs w:val="24"/>
        </w:rPr>
      </w:pPr>
    </w:p>
    <w:p w:rsidR="00B97825" w:rsidRPr="00A87A39" w:rsidRDefault="00B97825" w:rsidP="00B97825">
      <w:pPr>
        <w:pStyle w:val="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Основной ц</w:t>
      </w:r>
      <w:r w:rsidRPr="00A87A39">
        <w:rPr>
          <w:sz w:val="24"/>
          <w:szCs w:val="24"/>
        </w:rPr>
        <w:t xml:space="preserve">елью муниципальной программы является создание условий для обеспечения  эффективной деятельности органов местного самоуправления городского поселения </w:t>
      </w:r>
      <w:proofErr w:type="gramStart"/>
      <w:r w:rsidRPr="00A87A39">
        <w:rPr>
          <w:sz w:val="24"/>
          <w:szCs w:val="24"/>
        </w:rPr>
        <w:t>Белоярский</w:t>
      </w:r>
      <w:proofErr w:type="gramEnd"/>
      <w:r w:rsidRPr="00A87A39">
        <w:rPr>
          <w:sz w:val="24"/>
          <w:szCs w:val="24"/>
        </w:rPr>
        <w:t>.</w:t>
      </w:r>
    </w:p>
    <w:p w:rsidR="00B97825" w:rsidRDefault="00B97825" w:rsidP="00B97825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53559E">
        <w:rPr>
          <w:sz w:val="24"/>
          <w:szCs w:val="24"/>
        </w:rPr>
        <w:t>В рамках муниципальной программы были реализованы следующие мероприятия:</w:t>
      </w:r>
    </w:p>
    <w:p w:rsidR="00B97825" w:rsidRDefault="00B97825" w:rsidP="00B97825">
      <w:pPr>
        <w:pStyle w:val="3"/>
        <w:numPr>
          <w:ilvl w:val="0"/>
          <w:numId w:val="5"/>
        </w:numPr>
        <w:spacing w:after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2961D1">
        <w:rPr>
          <w:sz w:val="24"/>
          <w:szCs w:val="24"/>
        </w:rPr>
        <w:t xml:space="preserve">беспечение выполнения полномочий и функций органов местного самоуправления городского поселения </w:t>
      </w:r>
      <w:proofErr w:type="gramStart"/>
      <w:r w:rsidRPr="002961D1">
        <w:rPr>
          <w:sz w:val="24"/>
          <w:szCs w:val="24"/>
        </w:rPr>
        <w:t>Белоярский</w:t>
      </w:r>
      <w:proofErr w:type="gramEnd"/>
      <w:r>
        <w:rPr>
          <w:sz w:val="24"/>
          <w:szCs w:val="24"/>
        </w:rPr>
        <w:t>;</w:t>
      </w:r>
    </w:p>
    <w:p w:rsidR="00B97825" w:rsidRDefault="00B97825" w:rsidP="00B97825">
      <w:pPr>
        <w:pStyle w:val="3"/>
        <w:numPr>
          <w:ilvl w:val="0"/>
          <w:numId w:val="5"/>
        </w:numPr>
        <w:spacing w:after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961D1">
        <w:rPr>
          <w:sz w:val="24"/>
          <w:szCs w:val="24"/>
        </w:rPr>
        <w:t>оздание условий для развития и совершенствования муниципальной службы</w:t>
      </w:r>
      <w:r>
        <w:rPr>
          <w:sz w:val="24"/>
          <w:szCs w:val="24"/>
        </w:rPr>
        <w:t>.</w:t>
      </w:r>
    </w:p>
    <w:p w:rsidR="00B97825" w:rsidRPr="003F37FD" w:rsidRDefault="00B97825" w:rsidP="00B97825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F37FD">
        <w:rPr>
          <w:sz w:val="24"/>
          <w:szCs w:val="24"/>
        </w:rPr>
        <w:t xml:space="preserve">Всего на реализацию мероприятий муниципальной программы на 2019 год предусмотрено </w:t>
      </w:r>
      <w:r>
        <w:rPr>
          <w:b/>
          <w:bCs/>
          <w:sz w:val="24"/>
          <w:szCs w:val="24"/>
        </w:rPr>
        <w:t>5 847,0</w:t>
      </w:r>
      <w:r w:rsidRPr="003F37FD">
        <w:rPr>
          <w:b/>
          <w:bCs/>
          <w:sz w:val="24"/>
          <w:szCs w:val="24"/>
        </w:rPr>
        <w:t xml:space="preserve"> тыс.</w:t>
      </w:r>
      <w:r>
        <w:rPr>
          <w:b/>
          <w:bCs/>
          <w:sz w:val="24"/>
          <w:szCs w:val="24"/>
        </w:rPr>
        <w:t xml:space="preserve"> </w:t>
      </w:r>
      <w:r w:rsidRPr="003F37FD">
        <w:rPr>
          <w:b/>
          <w:bCs/>
          <w:sz w:val="24"/>
          <w:szCs w:val="24"/>
        </w:rPr>
        <w:t>руб.</w:t>
      </w:r>
      <w:r w:rsidRPr="003F37FD">
        <w:rPr>
          <w:bCs/>
          <w:sz w:val="24"/>
          <w:szCs w:val="24"/>
        </w:rPr>
        <w:t xml:space="preserve">, кассовое исполнение составило – </w:t>
      </w:r>
      <w:r>
        <w:rPr>
          <w:b/>
          <w:bCs/>
          <w:sz w:val="24"/>
          <w:szCs w:val="24"/>
        </w:rPr>
        <w:t>5 284,3</w:t>
      </w:r>
      <w:r w:rsidRPr="003F37FD">
        <w:rPr>
          <w:b/>
          <w:bCs/>
          <w:sz w:val="24"/>
          <w:szCs w:val="24"/>
        </w:rPr>
        <w:t xml:space="preserve"> тыс.</w:t>
      </w:r>
      <w:r>
        <w:rPr>
          <w:b/>
          <w:bCs/>
          <w:sz w:val="24"/>
          <w:szCs w:val="24"/>
        </w:rPr>
        <w:t xml:space="preserve"> </w:t>
      </w:r>
      <w:r w:rsidRPr="003F37FD">
        <w:rPr>
          <w:b/>
          <w:bCs/>
          <w:sz w:val="24"/>
          <w:szCs w:val="24"/>
        </w:rPr>
        <w:t>руб.</w:t>
      </w:r>
      <w:r w:rsidRPr="003F37FD">
        <w:rPr>
          <w:bCs/>
          <w:sz w:val="24"/>
          <w:szCs w:val="24"/>
        </w:rPr>
        <w:t xml:space="preserve">, или </w:t>
      </w:r>
      <w:r>
        <w:rPr>
          <w:b/>
          <w:bCs/>
          <w:sz w:val="24"/>
          <w:szCs w:val="24"/>
        </w:rPr>
        <w:t>90,4</w:t>
      </w:r>
      <w:r w:rsidRPr="003F37FD">
        <w:rPr>
          <w:b/>
          <w:bCs/>
          <w:sz w:val="24"/>
          <w:szCs w:val="24"/>
        </w:rPr>
        <w:t>%</w:t>
      </w:r>
      <w:r w:rsidRPr="003F37FD">
        <w:rPr>
          <w:bCs/>
          <w:sz w:val="24"/>
          <w:szCs w:val="24"/>
        </w:rPr>
        <w:t xml:space="preserve"> от годовых лимитов</w:t>
      </w:r>
      <w:r w:rsidRPr="003F37FD">
        <w:rPr>
          <w:sz w:val="24"/>
          <w:szCs w:val="24"/>
        </w:rPr>
        <w:t>, в том числе:</w:t>
      </w:r>
    </w:p>
    <w:p w:rsidR="00B97825" w:rsidRPr="00741241" w:rsidRDefault="00B97825" w:rsidP="00B97825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741241">
        <w:rPr>
          <w:sz w:val="24"/>
          <w:szCs w:val="24"/>
        </w:rPr>
        <w:t>- за счет средств бюджета Ханты-мансийского автономного округа-Югры – 18,1 тыс.</w:t>
      </w:r>
      <w:r>
        <w:rPr>
          <w:sz w:val="24"/>
          <w:szCs w:val="24"/>
        </w:rPr>
        <w:t xml:space="preserve"> </w:t>
      </w:r>
      <w:r w:rsidRPr="00741241">
        <w:rPr>
          <w:sz w:val="24"/>
          <w:szCs w:val="24"/>
        </w:rPr>
        <w:t>рублей (100%);</w:t>
      </w:r>
    </w:p>
    <w:p w:rsidR="00B97825" w:rsidRPr="00741241" w:rsidRDefault="00B97825" w:rsidP="00B97825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741241">
        <w:rPr>
          <w:sz w:val="24"/>
          <w:szCs w:val="24"/>
        </w:rPr>
        <w:t>- за счет сре</w:t>
      </w:r>
      <w:r>
        <w:rPr>
          <w:sz w:val="24"/>
          <w:szCs w:val="24"/>
        </w:rPr>
        <w:t>дств бюджета поселения – 5 266,2</w:t>
      </w:r>
      <w:r w:rsidRPr="0074124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741241">
        <w:rPr>
          <w:sz w:val="24"/>
          <w:szCs w:val="24"/>
        </w:rPr>
        <w:t>рублей (90,3%).</w:t>
      </w:r>
    </w:p>
    <w:p w:rsidR="00B97825" w:rsidRDefault="00B97825" w:rsidP="00B978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06">
        <w:rPr>
          <w:rFonts w:ascii="Times New Roman" w:hAnsi="Times New Roman" w:cs="Times New Roman"/>
          <w:sz w:val="24"/>
          <w:szCs w:val="24"/>
        </w:rPr>
        <w:t>В процессе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1C5906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2019 год не освоено </w:t>
      </w:r>
      <w:r>
        <w:rPr>
          <w:rFonts w:ascii="Times New Roman" w:hAnsi="Times New Roman" w:cs="Times New Roman"/>
          <w:sz w:val="24"/>
          <w:szCs w:val="24"/>
        </w:rPr>
        <w:t xml:space="preserve">562,7 </w:t>
      </w:r>
      <w:r w:rsidRPr="001C5906">
        <w:rPr>
          <w:rFonts w:ascii="Times New Roman" w:hAnsi="Times New Roman" w:cs="Times New Roman"/>
          <w:sz w:val="24"/>
          <w:szCs w:val="24"/>
        </w:rPr>
        <w:t>тыс. рублей, из них:</w:t>
      </w:r>
    </w:p>
    <w:p w:rsidR="00B97825" w:rsidRPr="006A3194" w:rsidRDefault="00B97825" w:rsidP="00B97825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A3194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531,8 тыс. рублей – экономия в части выплат сотрудникам компенсации льготного проезда и санаторно-курортного лечения в рамках выполнения мероприятия </w:t>
      </w:r>
      <w:r w:rsidRPr="006A3194">
        <w:rPr>
          <w:sz w:val="24"/>
          <w:szCs w:val="24"/>
        </w:rPr>
        <w:t>«</w:t>
      </w:r>
      <w:r w:rsidRPr="002961D1">
        <w:rPr>
          <w:sz w:val="24"/>
          <w:szCs w:val="24"/>
        </w:rPr>
        <w:t xml:space="preserve">Обеспечение выполнения полномочий и функций органов местного самоуправления городского поселения </w:t>
      </w:r>
      <w:proofErr w:type="gramStart"/>
      <w:r w:rsidRPr="002961D1">
        <w:rPr>
          <w:sz w:val="24"/>
          <w:szCs w:val="24"/>
        </w:rPr>
        <w:t>Белоярски</w:t>
      </w:r>
      <w:r>
        <w:rPr>
          <w:sz w:val="24"/>
          <w:szCs w:val="24"/>
        </w:rPr>
        <w:t>й</w:t>
      </w:r>
      <w:proofErr w:type="gramEnd"/>
      <w:r>
        <w:rPr>
          <w:sz w:val="24"/>
          <w:szCs w:val="24"/>
        </w:rPr>
        <w:t>»;</w:t>
      </w:r>
    </w:p>
    <w:p w:rsidR="00B97825" w:rsidRDefault="00B97825" w:rsidP="00B97825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6A3194">
        <w:rPr>
          <w:sz w:val="24"/>
          <w:szCs w:val="24"/>
        </w:rPr>
        <w:t xml:space="preserve"> </w:t>
      </w:r>
      <w:r>
        <w:rPr>
          <w:sz w:val="24"/>
          <w:szCs w:val="24"/>
        </w:rPr>
        <w:t>30,9 тыс. рублей – экономия в результате реализации мероприятия «</w:t>
      </w:r>
      <w:r w:rsidRPr="005E2672">
        <w:rPr>
          <w:sz w:val="24"/>
          <w:szCs w:val="24"/>
        </w:rPr>
        <w:t>Создание условий для развития и совершенствования муниципальной службы</w:t>
      </w:r>
      <w:r>
        <w:rPr>
          <w:sz w:val="24"/>
          <w:szCs w:val="24"/>
        </w:rPr>
        <w:t xml:space="preserve">». Услуги по диспансеризации сотрудников администрации городского поселения </w:t>
      </w:r>
      <w:proofErr w:type="gramStart"/>
      <w:r>
        <w:rPr>
          <w:sz w:val="24"/>
          <w:szCs w:val="24"/>
        </w:rPr>
        <w:t>Белоярский</w:t>
      </w:r>
      <w:proofErr w:type="gramEnd"/>
      <w:r>
        <w:rPr>
          <w:sz w:val="24"/>
          <w:szCs w:val="24"/>
        </w:rPr>
        <w:t xml:space="preserve"> были предоставлены по тарифам 2018 года. Так же экономия сложилась в части оплаты курсов повышения квалификации сотрудников.  </w:t>
      </w:r>
    </w:p>
    <w:p w:rsidR="00B97825" w:rsidRPr="004B3987" w:rsidRDefault="00B97825" w:rsidP="00B97825">
      <w:pPr>
        <w:pStyle w:val="3"/>
        <w:spacing w:after="0"/>
        <w:ind w:left="720"/>
        <w:jc w:val="center"/>
        <w:rPr>
          <w:sz w:val="24"/>
          <w:szCs w:val="24"/>
        </w:rPr>
      </w:pPr>
      <w:r w:rsidRPr="004B3987">
        <w:rPr>
          <w:sz w:val="24"/>
          <w:szCs w:val="24"/>
        </w:rPr>
        <w:t xml:space="preserve">Анализ достижения целевых показателей и освоения финансовых средств муниципальной программы </w:t>
      </w:r>
      <w:r>
        <w:rPr>
          <w:sz w:val="24"/>
          <w:szCs w:val="24"/>
        </w:rPr>
        <w:t>в период 2017-2019 годов.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118"/>
        <w:gridCol w:w="1985"/>
        <w:gridCol w:w="1843"/>
        <w:gridCol w:w="1666"/>
      </w:tblGrid>
      <w:tr w:rsidR="00B97825" w:rsidTr="00C56205">
        <w:trPr>
          <w:jc w:val="center"/>
        </w:trPr>
        <w:tc>
          <w:tcPr>
            <w:tcW w:w="959" w:type="dxa"/>
          </w:tcPr>
          <w:p w:rsidR="00B97825" w:rsidRPr="007A2985" w:rsidRDefault="00B97825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A2985">
              <w:rPr>
                <w:b/>
                <w:sz w:val="24"/>
                <w:szCs w:val="24"/>
              </w:rPr>
              <w:t>п</w:t>
            </w:r>
            <w:proofErr w:type="gramEnd"/>
            <w:r w:rsidRPr="007A298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B97825" w:rsidRPr="007A2985" w:rsidRDefault="00B97825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B97825" w:rsidRPr="007A2985" w:rsidRDefault="00B97825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B97825" w:rsidRPr="007A2985" w:rsidRDefault="00B97825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666" w:type="dxa"/>
          </w:tcPr>
          <w:p w:rsidR="00B97825" w:rsidRPr="007A2985" w:rsidRDefault="00B97825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>2019 год</w:t>
            </w:r>
          </w:p>
        </w:tc>
      </w:tr>
      <w:tr w:rsidR="00B97825" w:rsidTr="00C56205">
        <w:trPr>
          <w:jc w:val="center"/>
        </w:trPr>
        <w:tc>
          <w:tcPr>
            <w:tcW w:w="959" w:type="dxa"/>
            <w:vAlign w:val="center"/>
          </w:tcPr>
          <w:p w:rsidR="00B97825" w:rsidRPr="007A2985" w:rsidRDefault="00B97825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A2985">
              <w:rPr>
                <w:sz w:val="22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B97825" w:rsidRPr="007A2985" w:rsidRDefault="00B97825" w:rsidP="00C56205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7A2985">
              <w:rPr>
                <w:sz w:val="22"/>
                <w:szCs w:val="24"/>
              </w:rPr>
              <w:t>Достижение целевых показателей</w:t>
            </w:r>
            <w:r>
              <w:rPr>
                <w:sz w:val="22"/>
                <w:szCs w:val="24"/>
              </w:rPr>
              <w:t>,%</w:t>
            </w:r>
          </w:p>
        </w:tc>
        <w:tc>
          <w:tcPr>
            <w:tcW w:w="1985" w:type="dxa"/>
            <w:vAlign w:val="center"/>
          </w:tcPr>
          <w:p w:rsidR="00B97825" w:rsidRPr="007A2985" w:rsidRDefault="00B97825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B97825" w:rsidRPr="007A2985" w:rsidRDefault="00B97825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  <w:tc>
          <w:tcPr>
            <w:tcW w:w="1666" w:type="dxa"/>
            <w:vAlign w:val="center"/>
          </w:tcPr>
          <w:p w:rsidR="00B97825" w:rsidRPr="007A2985" w:rsidRDefault="00B97825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</w:tr>
      <w:tr w:rsidR="00B97825" w:rsidTr="00C56205">
        <w:trPr>
          <w:jc w:val="center"/>
        </w:trPr>
        <w:tc>
          <w:tcPr>
            <w:tcW w:w="959" w:type="dxa"/>
          </w:tcPr>
          <w:p w:rsidR="00B97825" w:rsidRPr="007A2985" w:rsidRDefault="00B97825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3118" w:type="dxa"/>
          </w:tcPr>
          <w:p w:rsidR="00B97825" w:rsidRPr="007A2985" w:rsidRDefault="00B97825" w:rsidP="00C56205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Процент освоения средств, %</w:t>
            </w:r>
          </w:p>
        </w:tc>
        <w:tc>
          <w:tcPr>
            <w:tcW w:w="1985" w:type="dxa"/>
            <w:vAlign w:val="center"/>
          </w:tcPr>
          <w:p w:rsidR="00B97825" w:rsidRPr="007A2985" w:rsidRDefault="00B97825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99,4</w:t>
            </w:r>
          </w:p>
        </w:tc>
        <w:tc>
          <w:tcPr>
            <w:tcW w:w="1843" w:type="dxa"/>
            <w:vAlign w:val="center"/>
          </w:tcPr>
          <w:p w:rsidR="00B97825" w:rsidRPr="007A2985" w:rsidRDefault="00B97825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98,9</w:t>
            </w:r>
          </w:p>
        </w:tc>
        <w:tc>
          <w:tcPr>
            <w:tcW w:w="1666" w:type="dxa"/>
            <w:vAlign w:val="center"/>
          </w:tcPr>
          <w:p w:rsidR="00B97825" w:rsidRPr="007A2985" w:rsidRDefault="00B97825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90,4</w:t>
            </w:r>
          </w:p>
        </w:tc>
      </w:tr>
    </w:tbl>
    <w:p w:rsidR="00B97825" w:rsidRDefault="00B97825" w:rsidP="00B97825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B97825" w:rsidRPr="007B7109" w:rsidRDefault="00B97825" w:rsidP="00B97825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1C750D">
        <w:rPr>
          <w:sz w:val="24"/>
          <w:szCs w:val="24"/>
        </w:rPr>
        <w:t>На основании проведенн</w:t>
      </w:r>
      <w:r>
        <w:rPr>
          <w:sz w:val="24"/>
          <w:szCs w:val="24"/>
        </w:rPr>
        <w:t xml:space="preserve">ого анализа можно сделать вывод, что </w:t>
      </w:r>
      <w:r w:rsidRPr="001C750D">
        <w:rPr>
          <w:sz w:val="24"/>
          <w:szCs w:val="24"/>
        </w:rPr>
        <w:t>уровень достижения целевых показателей</w:t>
      </w:r>
      <w:r>
        <w:rPr>
          <w:sz w:val="24"/>
          <w:szCs w:val="24"/>
        </w:rPr>
        <w:t xml:space="preserve"> ежегодно на высоком уровне. Так же, при экономии бюджетных средств, на основании перечисленных выше причин, процент освоения бюджетных средств высокий.</w:t>
      </w:r>
    </w:p>
    <w:p w:rsidR="00B97825" w:rsidRDefault="00B97825" w:rsidP="00B97825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4333DC">
        <w:rPr>
          <w:b/>
          <w:sz w:val="24"/>
          <w:szCs w:val="24"/>
        </w:rPr>
        <w:lastRenderedPageBreak/>
        <w:t xml:space="preserve">Реализация предусмотренных мероприятий, способствует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органах местного самоуправления городского  поселения </w:t>
      </w:r>
      <w:proofErr w:type="gramStart"/>
      <w:r w:rsidRPr="004333DC">
        <w:rPr>
          <w:b/>
          <w:sz w:val="24"/>
          <w:szCs w:val="24"/>
        </w:rPr>
        <w:t>Белоярский</w:t>
      </w:r>
      <w:proofErr w:type="gramEnd"/>
      <w:r w:rsidRPr="004333DC">
        <w:rPr>
          <w:b/>
          <w:sz w:val="24"/>
          <w:szCs w:val="24"/>
        </w:rPr>
        <w:t>.</w:t>
      </w:r>
    </w:p>
    <w:p w:rsidR="00B97825" w:rsidRDefault="00B97825" w:rsidP="00B97825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B97825" w:rsidRDefault="00B97825" w:rsidP="00B97825">
      <w:pPr>
        <w:pStyle w:val="a3"/>
        <w:rPr>
          <w:lang w:eastAsia="en-US"/>
        </w:rPr>
      </w:pPr>
      <w:bookmarkStart w:id="0" w:name="_GoBack"/>
      <w:bookmarkEnd w:id="0"/>
    </w:p>
    <w:p w:rsidR="00B97825" w:rsidRPr="00B14600" w:rsidRDefault="00B97825" w:rsidP="00B97825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B14600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B97825" w:rsidRPr="00B14600" w:rsidRDefault="00B97825" w:rsidP="00B97825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B14600">
        <w:rPr>
          <w:rFonts w:ascii="Times New Roman" w:hAnsi="Times New Roman" w:cs="Times New Roman"/>
          <w:b/>
          <w:bCs/>
        </w:rPr>
        <w:t xml:space="preserve">МУНИЦИПАЛЬНОЙ ПРОГРАММЫ </w:t>
      </w:r>
      <w:r w:rsidRPr="00B14600">
        <w:rPr>
          <w:rFonts w:ascii="Times New Roman" w:hAnsi="Times New Roman" w:cs="Times New Roman"/>
          <w:b/>
          <w:bCs/>
          <w:kern w:val="28"/>
        </w:rPr>
        <w:t>ГОРОДСКОГО ПОСЕЛЕНИЯ</w:t>
      </w:r>
      <w:r w:rsidRPr="00B14600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 w:rsidRPr="00B14600">
        <w:rPr>
          <w:rFonts w:ascii="Times New Roman" w:hAnsi="Times New Roman" w:cs="Times New Roman"/>
          <w:b/>
          <w:bCs/>
        </w:rPr>
        <w:t xml:space="preserve">БЕЛОЯРСКИЙ «РАЗВИТИЕ ЖИЛИЩНО-КОММУНАЛЬНОГО КОМПЛЕКСА И ПОВЫШЕНИЕ ЭНЕРГЕТИЧЕСКОЙ ЭФФЕКТИВНОСТИ В ГОРОДСКОМ ПОСЕЛЕНИИ БЕЛОЯРСКИЙ НА 2017-2023 ГОДЫ» ЗА 2019 ГОД. </w:t>
      </w:r>
    </w:p>
    <w:p w:rsidR="00B97825" w:rsidRPr="00B14600" w:rsidRDefault="00B97825" w:rsidP="00B97825">
      <w:pPr>
        <w:pStyle w:val="3"/>
        <w:spacing w:after="0"/>
        <w:ind w:left="0" w:firstLine="709"/>
        <w:jc w:val="both"/>
        <w:rPr>
          <w:sz w:val="18"/>
          <w:szCs w:val="24"/>
        </w:rPr>
      </w:pPr>
    </w:p>
    <w:p w:rsidR="00B97825" w:rsidRPr="00B14600" w:rsidRDefault="00B97825" w:rsidP="00B97825">
      <w:pPr>
        <w:ind w:firstLine="709"/>
        <w:jc w:val="both"/>
      </w:pPr>
      <w:r>
        <w:t>Основной ц</w:t>
      </w:r>
      <w:r w:rsidRPr="00B14600">
        <w:t>елью муниципальной программы является</w:t>
      </w:r>
      <w:r w:rsidRPr="00B14600">
        <w:rPr>
          <w:b/>
        </w:rPr>
        <w:t xml:space="preserve"> </w:t>
      </w:r>
      <w:r w:rsidRPr="00B14600">
        <w:t>повышение надежности и качества предоставления жилищно-коммунальных услуг</w:t>
      </w:r>
      <w:r>
        <w:t>.</w:t>
      </w:r>
    </w:p>
    <w:p w:rsidR="00B97825" w:rsidRPr="003F37FD" w:rsidRDefault="00B97825" w:rsidP="00B97825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F37FD">
        <w:rPr>
          <w:sz w:val="24"/>
          <w:szCs w:val="24"/>
        </w:rPr>
        <w:t xml:space="preserve">Всего на реализацию мероприятий муниципальной программы на 2019 год </w:t>
      </w:r>
      <w:r>
        <w:rPr>
          <w:sz w:val="24"/>
          <w:szCs w:val="24"/>
        </w:rPr>
        <w:t xml:space="preserve">из бюджета городского поселения Белоярский </w:t>
      </w:r>
      <w:r w:rsidRPr="003F37FD">
        <w:rPr>
          <w:sz w:val="24"/>
          <w:szCs w:val="24"/>
        </w:rPr>
        <w:t xml:space="preserve">предусмотрено </w:t>
      </w:r>
      <w:r>
        <w:rPr>
          <w:b/>
          <w:bCs/>
          <w:sz w:val="24"/>
          <w:szCs w:val="24"/>
        </w:rPr>
        <w:t>32 490,7</w:t>
      </w:r>
      <w:r w:rsidRPr="003F37FD">
        <w:rPr>
          <w:b/>
          <w:bCs/>
          <w:sz w:val="24"/>
          <w:szCs w:val="24"/>
        </w:rPr>
        <w:t xml:space="preserve"> тыс.</w:t>
      </w:r>
      <w:r>
        <w:rPr>
          <w:b/>
          <w:bCs/>
          <w:sz w:val="24"/>
          <w:szCs w:val="24"/>
        </w:rPr>
        <w:t xml:space="preserve"> </w:t>
      </w:r>
      <w:r w:rsidRPr="003F37FD">
        <w:rPr>
          <w:b/>
          <w:bCs/>
          <w:sz w:val="24"/>
          <w:szCs w:val="24"/>
        </w:rPr>
        <w:t>руб.</w:t>
      </w:r>
      <w:r w:rsidRPr="003F37FD">
        <w:rPr>
          <w:bCs/>
          <w:sz w:val="24"/>
          <w:szCs w:val="24"/>
        </w:rPr>
        <w:t xml:space="preserve">, кассовое исполнение составило – </w:t>
      </w:r>
      <w:r>
        <w:rPr>
          <w:b/>
          <w:bCs/>
          <w:sz w:val="24"/>
          <w:szCs w:val="24"/>
        </w:rPr>
        <w:t>32 449,2</w:t>
      </w:r>
      <w:r w:rsidRPr="003F37FD">
        <w:rPr>
          <w:b/>
          <w:bCs/>
          <w:sz w:val="24"/>
          <w:szCs w:val="24"/>
        </w:rPr>
        <w:t xml:space="preserve"> тыс.</w:t>
      </w:r>
      <w:r>
        <w:rPr>
          <w:b/>
          <w:bCs/>
          <w:sz w:val="24"/>
          <w:szCs w:val="24"/>
        </w:rPr>
        <w:t xml:space="preserve"> </w:t>
      </w:r>
      <w:r w:rsidRPr="003F37FD">
        <w:rPr>
          <w:b/>
          <w:bCs/>
          <w:sz w:val="24"/>
          <w:szCs w:val="24"/>
        </w:rPr>
        <w:t>руб.</w:t>
      </w:r>
      <w:r w:rsidRPr="003F37FD">
        <w:rPr>
          <w:bCs/>
          <w:sz w:val="24"/>
          <w:szCs w:val="24"/>
        </w:rPr>
        <w:t xml:space="preserve">, или </w:t>
      </w:r>
      <w:r>
        <w:rPr>
          <w:b/>
          <w:bCs/>
          <w:sz w:val="24"/>
          <w:szCs w:val="24"/>
        </w:rPr>
        <w:t>99,8</w:t>
      </w:r>
      <w:r w:rsidRPr="003F37FD">
        <w:rPr>
          <w:b/>
          <w:bCs/>
          <w:sz w:val="24"/>
          <w:szCs w:val="24"/>
        </w:rPr>
        <w:t>%</w:t>
      </w:r>
      <w:r w:rsidRPr="003F37FD">
        <w:rPr>
          <w:bCs/>
          <w:sz w:val="24"/>
          <w:szCs w:val="24"/>
        </w:rPr>
        <w:t xml:space="preserve"> от годовых лимитов</w:t>
      </w:r>
      <w:r>
        <w:rPr>
          <w:sz w:val="24"/>
          <w:szCs w:val="24"/>
        </w:rPr>
        <w:t>.</w:t>
      </w:r>
    </w:p>
    <w:p w:rsidR="00B97825" w:rsidRPr="0024511F" w:rsidRDefault="00B97825" w:rsidP="00B97825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4511F">
        <w:rPr>
          <w:sz w:val="24"/>
          <w:szCs w:val="24"/>
        </w:rPr>
        <w:t>В рамках реализации мероприяти</w:t>
      </w:r>
      <w:r>
        <w:rPr>
          <w:sz w:val="24"/>
          <w:szCs w:val="24"/>
        </w:rPr>
        <w:t>я</w:t>
      </w:r>
      <w:r w:rsidRPr="0024511F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 xml:space="preserve"> «</w:t>
      </w:r>
      <w:r w:rsidRPr="00CA73F8">
        <w:rPr>
          <w:sz w:val="24"/>
          <w:szCs w:val="24"/>
        </w:rPr>
        <w:t xml:space="preserve">Предоставление субсидий юридическим лицам в жилищно-коммунальной сфере на территории городского поселения </w:t>
      </w:r>
      <w:proofErr w:type="gramStart"/>
      <w:r w:rsidRPr="00CA73F8">
        <w:rPr>
          <w:sz w:val="24"/>
          <w:szCs w:val="24"/>
        </w:rPr>
        <w:t>Белоярский</w:t>
      </w:r>
      <w:proofErr w:type="gramEnd"/>
      <w:r>
        <w:rPr>
          <w:sz w:val="24"/>
          <w:szCs w:val="24"/>
        </w:rPr>
        <w:t>»</w:t>
      </w:r>
      <w:r w:rsidRPr="0024511F">
        <w:rPr>
          <w:sz w:val="24"/>
          <w:szCs w:val="24"/>
        </w:rPr>
        <w:t xml:space="preserve"> осуществлялось субсидирование по следующим направлениям:</w:t>
      </w:r>
    </w:p>
    <w:p w:rsidR="00B97825" w:rsidRDefault="00B97825" w:rsidP="00B97825">
      <w:pPr>
        <w:pStyle w:val="3"/>
        <w:numPr>
          <w:ilvl w:val="0"/>
          <w:numId w:val="8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31 933,3 тыс. рублей - возмещение затрат</w:t>
      </w:r>
      <w:r w:rsidRPr="0097078C">
        <w:rPr>
          <w:sz w:val="24"/>
          <w:szCs w:val="24"/>
        </w:rPr>
        <w:t xml:space="preserve"> организациям, предоставляющим населению услуги водоснабжения и водоотведения по тарифам, не обеспечивающим возмещение издержек</w:t>
      </w:r>
      <w:proofErr w:type="gramStart"/>
      <w:r>
        <w:rPr>
          <w:sz w:val="24"/>
          <w:szCs w:val="24"/>
        </w:rPr>
        <w:t>.;</w:t>
      </w:r>
      <w:proofErr w:type="gramEnd"/>
    </w:p>
    <w:p w:rsidR="00B97825" w:rsidRPr="0097078C" w:rsidRDefault="00B97825" w:rsidP="00B97825">
      <w:pPr>
        <w:pStyle w:val="3"/>
        <w:numPr>
          <w:ilvl w:val="0"/>
          <w:numId w:val="8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557,4 тыс. рублей - </w:t>
      </w:r>
      <w:r w:rsidRPr="0097078C">
        <w:rPr>
          <w:sz w:val="24"/>
          <w:szCs w:val="24"/>
        </w:rPr>
        <w:t>возмещение затрат по вывозу жидких бытовых отходов;</w:t>
      </w:r>
    </w:p>
    <w:p w:rsidR="00B97825" w:rsidRPr="004B3987" w:rsidRDefault="00B97825" w:rsidP="00B97825">
      <w:pPr>
        <w:pStyle w:val="3"/>
        <w:spacing w:after="0"/>
        <w:ind w:left="720"/>
        <w:jc w:val="center"/>
        <w:rPr>
          <w:sz w:val="24"/>
          <w:szCs w:val="24"/>
        </w:rPr>
      </w:pPr>
      <w:r w:rsidRPr="004B3987">
        <w:rPr>
          <w:sz w:val="24"/>
          <w:szCs w:val="24"/>
        </w:rPr>
        <w:t xml:space="preserve">Анализ достижения целевых показателей и освоения финансовых средств муниципальной программы </w:t>
      </w:r>
      <w:r>
        <w:rPr>
          <w:sz w:val="24"/>
          <w:szCs w:val="24"/>
        </w:rPr>
        <w:t>в период 2017-2019 годов.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118"/>
        <w:gridCol w:w="1985"/>
        <w:gridCol w:w="1843"/>
        <w:gridCol w:w="1666"/>
      </w:tblGrid>
      <w:tr w:rsidR="00B97825" w:rsidTr="00C56205">
        <w:trPr>
          <w:jc w:val="center"/>
        </w:trPr>
        <w:tc>
          <w:tcPr>
            <w:tcW w:w="959" w:type="dxa"/>
          </w:tcPr>
          <w:p w:rsidR="00B97825" w:rsidRPr="007A2985" w:rsidRDefault="00B97825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A2985">
              <w:rPr>
                <w:b/>
                <w:sz w:val="24"/>
                <w:szCs w:val="24"/>
              </w:rPr>
              <w:t>п</w:t>
            </w:r>
            <w:proofErr w:type="gramEnd"/>
            <w:r w:rsidRPr="007A298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B97825" w:rsidRPr="007A2985" w:rsidRDefault="00B97825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B97825" w:rsidRPr="007A2985" w:rsidRDefault="00B97825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B97825" w:rsidRPr="007A2985" w:rsidRDefault="00B97825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666" w:type="dxa"/>
          </w:tcPr>
          <w:p w:rsidR="00B97825" w:rsidRPr="007A2985" w:rsidRDefault="00B97825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>2019 год</w:t>
            </w:r>
          </w:p>
        </w:tc>
      </w:tr>
      <w:tr w:rsidR="00B97825" w:rsidTr="00C56205">
        <w:trPr>
          <w:jc w:val="center"/>
        </w:trPr>
        <w:tc>
          <w:tcPr>
            <w:tcW w:w="959" w:type="dxa"/>
            <w:vAlign w:val="center"/>
          </w:tcPr>
          <w:p w:rsidR="00B97825" w:rsidRPr="007A2985" w:rsidRDefault="00B97825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A2985">
              <w:rPr>
                <w:sz w:val="22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B97825" w:rsidRPr="007A2985" w:rsidRDefault="00B97825" w:rsidP="00C56205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7A2985">
              <w:rPr>
                <w:sz w:val="22"/>
                <w:szCs w:val="24"/>
              </w:rPr>
              <w:t>Достижение целевых показателей</w:t>
            </w:r>
            <w:r>
              <w:rPr>
                <w:sz w:val="22"/>
                <w:szCs w:val="24"/>
              </w:rPr>
              <w:t>,%</w:t>
            </w:r>
          </w:p>
        </w:tc>
        <w:tc>
          <w:tcPr>
            <w:tcW w:w="1985" w:type="dxa"/>
            <w:vAlign w:val="center"/>
          </w:tcPr>
          <w:p w:rsidR="00B97825" w:rsidRPr="007A2985" w:rsidRDefault="00B97825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125</w:t>
            </w:r>
          </w:p>
        </w:tc>
        <w:tc>
          <w:tcPr>
            <w:tcW w:w="1843" w:type="dxa"/>
            <w:vAlign w:val="center"/>
          </w:tcPr>
          <w:p w:rsidR="00B97825" w:rsidRPr="007A2985" w:rsidRDefault="00B97825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105</w:t>
            </w:r>
          </w:p>
        </w:tc>
        <w:tc>
          <w:tcPr>
            <w:tcW w:w="1666" w:type="dxa"/>
            <w:vAlign w:val="center"/>
          </w:tcPr>
          <w:p w:rsidR="00B97825" w:rsidRPr="007A2985" w:rsidRDefault="00B97825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106</w:t>
            </w:r>
          </w:p>
        </w:tc>
      </w:tr>
      <w:tr w:rsidR="00B97825" w:rsidTr="00C56205">
        <w:trPr>
          <w:jc w:val="center"/>
        </w:trPr>
        <w:tc>
          <w:tcPr>
            <w:tcW w:w="959" w:type="dxa"/>
          </w:tcPr>
          <w:p w:rsidR="00B97825" w:rsidRPr="007A2985" w:rsidRDefault="00B97825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3118" w:type="dxa"/>
          </w:tcPr>
          <w:p w:rsidR="00B97825" w:rsidRPr="007A2985" w:rsidRDefault="00B97825" w:rsidP="00C56205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Процент освоения средств, %</w:t>
            </w:r>
          </w:p>
        </w:tc>
        <w:tc>
          <w:tcPr>
            <w:tcW w:w="1985" w:type="dxa"/>
            <w:vAlign w:val="center"/>
          </w:tcPr>
          <w:p w:rsidR="00B97825" w:rsidRPr="007A2985" w:rsidRDefault="00B97825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98,7</w:t>
            </w:r>
          </w:p>
        </w:tc>
        <w:tc>
          <w:tcPr>
            <w:tcW w:w="1843" w:type="dxa"/>
            <w:vAlign w:val="center"/>
          </w:tcPr>
          <w:p w:rsidR="00B97825" w:rsidRPr="007A2985" w:rsidRDefault="00B97825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99,4</w:t>
            </w:r>
          </w:p>
        </w:tc>
        <w:tc>
          <w:tcPr>
            <w:tcW w:w="1666" w:type="dxa"/>
            <w:vAlign w:val="center"/>
          </w:tcPr>
          <w:p w:rsidR="00B97825" w:rsidRPr="007A2985" w:rsidRDefault="00B97825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99,9</w:t>
            </w:r>
          </w:p>
        </w:tc>
      </w:tr>
    </w:tbl>
    <w:p w:rsidR="00B97825" w:rsidRPr="00F74FDC" w:rsidRDefault="00B97825" w:rsidP="00B97825">
      <w:pPr>
        <w:pStyle w:val="3"/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F74FDC">
        <w:rPr>
          <w:color w:val="000000" w:themeColor="text1"/>
          <w:sz w:val="24"/>
          <w:szCs w:val="24"/>
        </w:rPr>
        <w:t xml:space="preserve">На основании проведенного анализа можно сделать вывод, что </w:t>
      </w:r>
      <w:r>
        <w:rPr>
          <w:color w:val="000000" w:themeColor="text1"/>
          <w:sz w:val="24"/>
          <w:szCs w:val="24"/>
        </w:rPr>
        <w:t>ежегодно процент достижения целевых показателей на высоком уровне. В 2019 году наблюдается наибольший процент освоения финансовых средств за три года реализации муниципальной программы.</w:t>
      </w:r>
    </w:p>
    <w:p w:rsidR="00B97825" w:rsidRPr="00A87A39" w:rsidRDefault="00B97825" w:rsidP="00B97825">
      <w:pPr>
        <w:ind w:firstLine="708"/>
        <w:jc w:val="both"/>
        <w:rPr>
          <w:b/>
          <w:color w:val="FF0000"/>
          <w:sz w:val="12"/>
        </w:rPr>
      </w:pPr>
    </w:p>
    <w:p w:rsidR="00B97825" w:rsidRPr="004D3DA7" w:rsidRDefault="00B97825" w:rsidP="00B97825">
      <w:pPr>
        <w:ind w:firstLine="708"/>
        <w:jc w:val="both"/>
        <w:rPr>
          <w:b/>
        </w:rPr>
      </w:pPr>
      <w:r w:rsidRPr="004D3DA7">
        <w:rPr>
          <w:b/>
        </w:rPr>
        <w:t xml:space="preserve">Ответственному исполнителю муниципальных программ – администрации </w:t>
      </w:r>
      <w:proofErr w:type="gramStart"/>
      <w:r w:rsidRPr="004D3DA7">
        <w:rPr>
          <w:b/>
        </w:rPr>
        <w:t>городского</w:t>
      </w:r>
      <w:proofErr w:type="gramEnd"/>
      <w:r w:rsidRPr="004D3DA7">
        <w:rPr>
          <w:b/>
        </w:rPr>
        <w:t xml:space="preserve"> поселения Белоярский, рекомендовано своевременно, в указанные сроки направлять в управление экономики, реформ и программ:</w:t>
      </w:r>
    </w:p>
    <w:p w:rsidR="00B97825" w:rsidRPr="004D3DA7" w:rsidRDefault="00B97825" w:rsidP="00B97825">
      <w:pPr>
        <w:ind w:firstLine="709"/>
        <w:jc w:val="both"/>
        <w:rPr>
          <w:b/>
        </w:rPr>
      </w:pPr>
      <w:proofErr w:type="gramStart"/>
      <w:r w:rsidRPr="004D3DA7">
        <w:rPr>
          <w:b/>
        </w:rPr>
        <w:t xml:space="preserve">- в течение </w:t>
      </w:r>
      <w:r w:rsidRPr="004D3DA7">
        <w:rPr>
          <w:b/>
          <w:u w:val="single"/>
        </w:rPr>
        <w:t>5 дней</w:t>
      </w:r>
      <w:r w:rsidRPr="004D3DA7">
        <w:rPr>
          <w:b/>
        </w:rPr>
        <w:t xml:space="preserve"> после утверждения муниципальной программы или внес</w:t>
      </w:r>
      <w:r w:rsidRPr="004D3DA7">
        <w:rPr>
          <w:b/>
        </w:rPr>
        <w:t>е</w:t>
      </w:r>
      <w:r w:rsidRPr="004D3DA7">
        <w:rPr>
          <w:b/>
        </w:rPr>
        <w:t>ния изменений в муниципальную программу ответственный исполнитель заполняет форму уведомления об утверждении (одобрении) документа стратегического план</w:t>
      </w:r>
      <w:r w:rsidRPr="004D3DA7">
        <w:rPr>
          <w:b/>
        </w:rPr>
        <w:t>и</w:t>
      </w:r>
      <w:r w:rsidRPr="004D3DA7">
        <w:rPr>
          <w:b/>
        </w:rPr>
        <w:t xml:space="preserve">рования или внесении в него изменений в соответствии с требованиями Приказа Министерства экономического развития Российской Федерации от 11 ноября 2015 года №831 и </w:t>
      </w:r>
      <w:r w:rsidRPr="004D3DA7">
        <w:rPr>
          <w:b/>
          <w:u w:val="single"/>
        </w:rPr>
        <w:t>уведомляют</w:t>
      </w:r>
      <w:r w:rsidRPr="004D3DA7">
        <w:rPr>
          <w:b/>
        </w:rPr>
        <w:t xml:space="preserve"> о заполнении формы управление экономики, реформ и пр</w:t>
      </w:r>
      <w:r w:rsidRPr="004D3DA7">
        <w:rPr>
          <w:b/>
        </w:rPr>
        <w:t>о</w:t>
      </w:r>
      <w:r w:rsidRPr="004D3DA7">
        <w:rPr>
          <w:b/>
        </w:rPr>
        <w:t>грамм.</w:t>
      </w:r>
      <w:proofErr w:type="gramEnd"/>
    </w:p>
    <w:p w:rsidR="00B97825" w:rsidRDefault="00B97825" w:rsidP="00B97825">
      <w:pPr>
        <w:ind w:firstLine="284"/>
        <w:jc w:val="both"/>
      </w:pPr>
    </w:p>
    <w:p w:rsidR="00B97825" w:rsidRDefault="00B97825" w:rsidP="00B97825">
      <w:pPr>
        <w:ind w:firstLine="284"/>
        <w:jc w:val="both"/>
      </w:pPr>
    </w:p>
    <w:p w:rsidR="00B97825" w:rsidRPr="006B4FC8" w:rsidRDefault="00B97825" w:rsidP="00B97825">
      <w:pPr>
        <w:ind w:firstLine="284"/>
        <w:jc w:val="both"/>
      </w:pPr>
      <w:r w:rsidRPr="006B4FC8">
        <w:t xml:space="preserve">Начальник управления экономики, </w:t>
      </w:r>
    </w:p>
    <w:p w:rsidR="00B97825" w:rsidRPr="006B4FC8" w:rsidRDefault="00B97825" w:rsidP="00B97825">
      <w:pPr>
        <w:ind w:firstLine="284"/>
        <w:jc w:val="both"/>
      </w:pPr>
      <w:r w:rsidRPr="006B4FC8">
        <w:t xml:space="preserve">реформ и программ администрации </w:t>
      </w:r>
    </w:p>
    <w:p w:rsidR="00B97825" w:rsidRPr="006B4FC8" w:rsidRDefault="00B97825" w:rsidP="00B97825">
      <w:pPr>
        <w:ind w:firstLine="284"/>
        <w:jc w:val="both"/>
      </w:pPr>
      <w:r w:rsidRPr="006B4FC8">
        <w:t xml:space="preserve">Белоярского района                                   ______________________    </w:t>
      </w:r>
      <w:proofErr w:type="spellStart"/>
      <w:r w:rsidRPr="006B4FC8">
        <w:t>Бурматова</w:t>
      </w:r>
      <w:proofErr w:type="spellEnd"/>
      <w:r w:rsidRPr="006B4FC8">
        <w:t xml:space="preserve"> Л.М.</w:t>
      </w:r>
    </w:p>
    <w:p w:rsidR="00B97825" w:rsidRPr="006B4FC8" w:rsidRDefault="00B97825" w:rsidP="00B97825">
      <w:pPr>
        <w:ind w:firstLine="284"/>
        <w:jc w:val="both"/>
        <w:rPr>
          <w:sz w:val="20"/>
        </w:rPr>
      </w:pPr>
    </w:p>
    <w:p w:rsidR="00B97825" w:rsidRPr="006B4FC8" w:rsidRDefault="00B97825" w:rsidP="00B97825">
      <w:pPr>
        <w:ind w:firstLine="284"/>
        <w:jc w:val="both"/>
        <w:rPr>
          <w:sz w:val="20"/>
        </w:rPr>
      </w:pPr>
      <w:r w:rsidRPr="006B4FC8">
        <w:rPr>
          <w:sz w:val="20"/>
        </w:rPr>
        <w:t xml:space="preserve">Исп. </w:t>
      </w:r>
      <w:r>
        <w:rPr>
          <w:sz w:val="20"/>
        </w:rPr>
        <w:t>Сухенко Е.А.</w:t>
      </w:r>
      <w:r w:rsidRPr="006B4FC8">
        <w:rPr>
          <w:sz w:val="20"/>
        </w:rPr>
        <w:t>.</w:t>
      </w:r>
    </w:p>
    <w:p w:rsidR="00355218" w:rsidRPr="00B97825" w:rsidRDefault="00B97825" w:rsidP="00B97825">
      <w:pPr>
        <w:ind w:firstLine="284"/>
        <w:jc w:val="both"/>
        <w:rPr>
          <w:sz w:val="20"/>
        </w:rPr>
      </w:pPr>
      <w:r w:rsidRPr="006B4FC8">
        <w:rPr>
          <w:sz w:val="20"/>
        </w:rPr>
        <w:t>тел. 8 (34670) 2-06-10</w:t>
      </w:r>
    </w:p>
    <w:sectPr w:rsidR="00355218" w:rsidRPr="00B97825" w:rsidSect="00210D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8B9"/>
    <w:multiLevelType w:val="hybridMultilevel"/>
    <w:tmpl w:val="F53215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0B03F9"/>
    <w:multiLevelType w:val="hybridMultilevel"/>
    <w:tmpl w:val="4D90126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5D2071A"/>
    <w:multiLevelType w:val="hybridMultilevel"/>
    <w:tmpl w:val="02803BA2"/>
    <w:lvl w:ilvl="0" w:tplc="62527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1325E7"/>
    <w:multiLevelType w:val="hybridMultilevel"/>
    <w:tmpl w:val="771CF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42055B"/>
    <w:multiLevelType w:val="hybridMultilevel"/>
    <w:tmpl w:val="FE827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9E13E2"/>
    <w:multiLevelType w:val="hybridMultilevel"/>
    <w:tmpl w:val="EB060CE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66EE0D07"/>
    <w:multiLevelType w:val="hybridMultilevel"/>
    <w:tmpl w:val="E938B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E0359D"/>
    <w:multiLevelType w:val="hybridMultilevel"/>
    <w:tmpl w:val="1FC42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93"/>
    <w:rsid w:val="000D3392"/>
    <w:rsid w:val="001A2A8A"/>
    <w:rsid w:val="00203393"/>
    <w:rsid w:val="0024511F"/>
    <w:rsid w:val="002961D1"/>
    <w:rsid w:val="002A4863"/>
    <w:rsid w:val="002B2B5A"/>
    <w:rsid w:val="00321235"/>
    <w:rsid w:val="0033032D"/>
    <w:rsid w:val="00355218"/>
    <w:rsid w:val="00417E9B"/>
    <w:rsid w:val="004333DC"/>
    <w:rsid w:val="00453404"/>
    <w:rsid w:val="004672B8"/>
    <w:rsid w:val="004D3DA7"/>
    <w:rsid w:val="005450CB"/>
    <w:rsid w:val="00561B4B"/>
    <w:rsid w:val="005E2672"/>
    <w:rsid w:val="006D27FE"/>
    <w:rsid w:val="00741241"/>
    <w:rsid w:val="007B4EE4"/>
    <w:rsid w:val="007B7109"/>
    <w:rsid w:val="00884BE9"/>
    <w:rsid w:val="0097078C"/>
    <w:rsid w:val="0099337E"/>
    <w:rsid w:val="00A87A39"/>
    <w:rsid w:val="00B06313"/>
    <w:rsid w:val="00B14600"/>
    <w:rsid w:val="00B97825"/>
    <w:rsid w:val="00C313A1"/>
    <w:rsid w:val="00CA73F8"/>
    <w:rsid w:val="00DE0FF7"/>
    <w:rsid w:val="00E205D6"/>
    <w:rsid w:val="00E93D5C"/>
    <w:rsid w:val="00F15D77"/>
    <w:rsid w:val="00F7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03393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3393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3"/>
    <w:uiPriority w:val="99"/>
    <w:rsid w:val="00203393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2033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03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96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7B4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03393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3393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3"/>
    <w:uiPriority w:val="99"/>
    <w:rsid w:val="00203393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2033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03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96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7B4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</dc:creator>
  <cp:lastModifiedBy>Кононенко</cp:lastModifiedBy>
  <cp:revision>18</cp:revision>
  <dcterms:created xsi:type="dcterms:W3CDTF">2019-04-05T07:29:00Z</dcterms:created>
  <dcterms:modified xsi:type="dcterms:W3CDTF">2020-07-06T05:23:00Z</dcterms:modified>
</cp:coreProperties>
</file>